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31CE" w14:textId="696C9517" w:rsidR="00A6396F" w:rsidRPr="00A6396F" w:rsidRDefault="00A6396F" w:rsidP="00A6396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Grupi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Siguri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Barazi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Gjinore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(SGG)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kërkon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qeverisë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marrë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masa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adresuar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efektet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ekonomike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pandemisë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COVID-19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tek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gratë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b/>
          <w:bCs/>
          <w:sz w:val="24"/>
          <w:szCs w:val="24"/>
        </w:rPr>
        <w:t>vajzat</w:t>
      </w:r>
      <w:proofErr w:type="spellEnd"/>
    </w:p>
    <w:p w14:paraId="43AC9D9A" w14:textId="4ACAD200" w:rsidR="00A6396F" w:rsidRPr="00A6396F" w:rsidRDefault="00A6396F" w:rsidP="00A63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Ndikimi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pandemisë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globin do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thellë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po 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sjell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ekonominë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botërore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recesioni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e COVID-19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sugjerojnë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e grave do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preket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disproporcionale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burrat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globin,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fitojnë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kursejnë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mbajnë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sigurta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</w:t>
      </w:r>
      <w:r w:rsidR="0003075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punësohen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51">
        <w:rPr>
          <w:rFonts w:ascii="Times New Roman" w:hAnsi="Times New Roman" w:cs="Times New Roman"/>
          <w:sz w:val="24"/>
          <w:szCs w:val="24"/>
        </w:rPr>
        <w:t>m</w:t>
      </w:r>
      <w:r w:rsidR="00030751" w:rsidRPr="00A639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51">
        <w:rPr>
          <w:rFonts w:ascii="Times New Roman" w:hAnsi="Times New Roman" w:cs="Times New Roman"/>
          <w:sz w:val="24"/>
          <w:szCs w:val="24"/>
        </w:rPr>
        <w:t>shum</w:t>
      </w:r>
      <w:r w:rsidR="00030751" w:rsidRPr="00A639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joformal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përfaqësojnë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shumicën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prind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Kapaciteti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absorbuar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tronditjet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se ai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burrave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>.</w:t>
      </w:r>
    </w:p>
    <w:p w14:paraId="4D99E4C0" w14:textId="35E64927" w:rsidR="00A6396F" w:rsidRPr="00A6396F" w:rsidRDefault="00A6396F" w:rsidP="00A639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mbylljes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përkohshme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veprimtarive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mbajnë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barrës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përgjegjësive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shtëpisë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ekspozuara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shkeljes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Përafërsisht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30% e grave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punësuara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punojnë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joformale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përfitojnë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sigurimeve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mundësi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përballen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shqetësime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>.</w:t>
      </w:r>
      <w:r w:rsidRPr="00A6396F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tepër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shpesh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përshtatshme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parandaluese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krijua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ekspozimit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vetëpunësuara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thelbësore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tilla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shitja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pakicë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farmaceutike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përballen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rreziqe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>.</w:t>
      </w:r>
      <w:r w:rsidRPr="00A6396F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396F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Pr="00A6396F">
        <w:rPr>
          <w:rFonts w:ascii="Times New Roman" w:hAnsi="Times New Roman" w:cs="Times New Roman"/>
          <w:sz w:val="24"/>
          <w:szCs w:val="24"/>
        </w:rPr>
        <w:t xml:space="preserve"> Barra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rënduara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kujdes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papaguar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vajzat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identifikuar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përgjegjësitë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shpesh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vendosen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vajzat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duke u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kujdesur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anëtarët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familjes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sëmurë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moshuarit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Mbyllja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përkeqëson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ngarkesa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vajzat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përgjegjësinë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t'u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kujdesur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96F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A6396F">
        <w:rPr>
          <w:rFonts w:ascii="Times New Roman" w:hAnsi="Times New Roman" w:cs="Times New Roman"/>
          <w:sz w:val="24"/>
          <w:szCs w:val="24"/>
        </w:rPr>
        <w:t>.</w:t>
      </w:r>
      <w:r w:rsidRPr="00A6396F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3"/>
      </w:r>
    </w:p>
    <w:p w14:paraId="29547FA6" w14:textId="730C621A" w:rsidR="00A6396F" w:rsidRPr="00A6396F" w:rsidRDefault="00030751" w:rsidP="00A639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krizës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shërbim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ekonomive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shoqërive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barabarta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gjithëpërfshirëse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qëndrueshme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domosdoshmërisht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përgjegjshme</w:t>
      </w:r>
      <w:proofErr w:type="spellEnd"/>
      <w:r w:rsid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02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jetës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02">
        <w:rPr>
          <w:rFonts w:ascii="Times New Roman" w:hAnsi="Times New Roman" w:cs="Times New Roman"/>
          <w:sz w:val="24"/>
          <w:szCs w:val="24"/>
        </w:rPr>
        <w:t>qend</w:t>
      </w:r>
      <w:r w:rsidR="00ED6502" w:rsidRPr="00A6396F">
        <w:rPr>
          <w:rFonts w:ascii="Times New Roman" w:hAnsi="Times New Roman" w:cs="Times New Roman"/>
          <w:sz w:val="24"/>
          <w:szCs w:val="24"/>
        </w:rPr>
        <w:t>ë</w:t>
      </w:r>
      <w:r w:rsidR="00ED6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reagim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02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pandemi</w:t>
      </w:r>
      <w:r w:rsidR="00ED6502">
        <w:rPr>
          <w:rFonts w:ascii="Times New Roman" w:hAnsi="Times New Roman" w:cs="Times New Roman"/>
          <w:sz w:val="24"/>
          <w:szCs w:val="24"/>
        </w:rPr>
        <w:t>s</w:t>
      </w:r>
      <w:r w:rsidR="00ED6502" w:rsidRPr="00A639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6502" w:rsidRPr="00A6396F">
        <w:rPr>
          <w:rFonts w:ascii="Times New Roman" w:hAnsi="Times New Roman" w:cs="Times New Roman"/>
          <w:sz w:val="24"/>
          <w:szCs w:val="24"/>
        </w:rPr>
        <w:t>Ë</w:t>
      </w:r>
      <w:r w:rsidR="00ED6502">
        <w:rPr>
          <w:rFonts w:ascii="Times New Roman" w:hAnsi="Times New Roman" w:cs="Times New Roman"/>
          <w:sz w:val="24"/>
          <w:szCs w:val="24"/>
        </w:rPr>
        <w:t>s</w:t>
      </w:r>
      <w:r w:rsidR="00ED6502" w:rsidRPr="00A6396F">
        <w:rPr>
          <w:rFonts w:ascii="Times New Roman" w:hAnsi="Times New Roman" w:cs="Times New Roman"/>
          <w:sz w:val="24"/>
          <w:szCs w:val="24"/>
        </w:rPr>
        <w:t>htë</w:t>
      </w:r>
      <w:proofErr w:type="spellEnd"/>
      <w:r w:rsidR="00ED6502" w:rsidRPr="00A6396F">
        <w:rPr>
          <w:rFonts w:ascii="Times New Roman" w:hAnsi="Times New Roman" w:cs="Times New Roman"/>
          <w:sz w:val="24"/>
          <w:szCs w:val="24"/>
        </w:rPr>
        <w:t xml:space="preserve"> </w:t>
      </w:r>
      <w:r w:rsidR="00A6396F" w:rsidRPr="00A6396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përfshijë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ndara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02">
        <w:rPr>
          <w:rFonts w:ascii="Times New Roman" w:hAnsi="Times New Roman" w:cs="Times New Roman"/>
          <w:sz w:val="24"/>
          <w:szCs w:val="24"/>
        </w:rPr>
        <w:t>gjinit</w:t>
      </w:r>
      <w:r w:rsidR="00ED6502" w:rsidRPr="00A639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D6502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ED6502">
        <w:rPr>
          <w:rFonts w:ascii="Times New Roman" w:hAnsi="Times New Roman" w:cs="Times New Roman"/>
          <w:sz w:val="24"/>
          <w:szCs w:val="24"/>
        </w:rPr>
        <w:t>synuar</w:t>
      </w:r>
      <w:proofErr w:type="spellEnd"/>
      <w:r w:rsid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0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ED6502">
        <w:rPr>
          <w:rFonts w:ascii="Times New Roman" w:hAnsi="Times New Roman" w:cs="Times New Roman"/>
          <w:sz w:val="24"/>
          <w:szCs w:val="24"/>
        </w:rPr>
        <w:t xml:space="preserve"> </w:t>
      </w:r>
      <w:r w:rsidR="00A6396F" w:rsidRPr="00A6396F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02">
        <w:rPr>
          <w:rFonts w:ascii="Times New Roman" w:hAnsi="Times New Roman" w:cs="Times New Roman"/>
          <w:sz w:val="24"/>
          <w:szCs w:val="24"/>
        </w:rPr>
        <w:t>p</w:t>
      </w:r>
      <w:r w:rsidR="00A6396F" w:rsidRPr="00A6396F">
        <w:rPr>
          <w:rFonts w:ascii="Times New Roman" w:hAnsi="Times New Roman" w:cs="Times New Roman"/>
          <w:sz w:val="24"/>
          <w:szCs w:val="24"/>
        </w:rPr>
        <w:t>ë</w:t>
      </w:r>
      <w:r w:rsidR="00ED650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6F" w:rsidRPr="00A6396F">
        <w:rPr>
          <w:rFonts w:ascii="Times New Roman" w:hAnsi="Times New Roman" w:cs="Times New Roman"/>
          <w:sz w:val="24"/>
          <w:szCs w:val="24"/>
        </w:rPr>
        <w:t>vajzat</w:t>
      </w:r>
      <w:proofErr w:type="spellEnd"/>
      <w:r w:rsidR="00A6396F" w:rsidRPr="00A6396F">
        <w:rPr>
          <w:rFonts w:ascii="Times New Roman" w:hAnsi="Times New Roman" w:cs="Times New Roman"/>
          <w:sz w:val="24"/>
          <w:szCs w:val="24"/>
        </w:rPr>
        <w:t>.</w:t>
      </w:r>
    </w:p>
    <w:p w14:paraId="22422262" w14:textId="714C646E" w:rsidR="00A6396F" w:rsidRPr="00A6396F" w:rsidRDefault="00A6396F" w:rsidP="00A6396F">
      <w:pPr>
        <w:rPr>
          <w:rFonts w:ascii="Times New Roman" w:hAnsi="Times New Roman" w:cs="Times New Roman"/>
          <w:sz w:val="24"/>
          <w:szCs w:val="24"/>
        </w:rPr>
      </w:pPr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Duke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marrë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parasysh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situatën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specifike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ekonomike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grave,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Grupi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6502" w:rsidRPr="00ED6502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Siguri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6502" w:rsidRPr="00ED6502">
        <w:rPr>
          <w:rFonts w:ascii="Times New Roman" w:hAnsi="Times New Roman" w:cs="Times New Roman"/>
          <w:b/>
          <w:bCs/>
          <w:sz w:val="24"/>
          <w:szCs w:val="24"/>
        </w:rPr>
        <w:t>Brazi</w:t>
      </w:r>
      <w:proofErr w:type="spellEnd"/>
      <w:r w:rsidR="00ED6502"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Gjin</w:t>
      </w:r>
      <w:r w:rsidR="00ED6502" w:rsidRPr="00ED6502">
        <w:rPr>
          <w:rFonts w:ascii="Times New Roman" w:hAnsi="Times New Roman" w:cs="Times New Roman"/>
          <w:b/>
          <w:bCs/>
          <w:sz w:val="24"/>
          <w:szCs w:val="24"/>
        </w:rPr>
        <w:t>ore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drejtohet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Ministrisë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Zhvillimit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Ekonomik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Ministrisë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Financave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, duke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rekomanduar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miratimin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masave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b/>
          <w:bCs/>
          <w:sz w:val="24"/>
          <w:szCs w:val="24"/>
        </w:rPr>
        <w:t>mëposhtme</w:t>
      </w:r>
      <w:proofErr w:type="spellEnd"/>
      <w:r w:rsidR="00ED6502">
        <w:rPr>
          <w:rFonts w:ascii="Times New Roman" w:hAnsi="Times New Roman" w:cs="Times New Roman"/>
          <w:sz w:val="24"/>
          <w:szCs w:val="24"/>
        </w:rPr>
        <w:t>:</w:t>
      </w:r>
    </w:p>
    <w:p w14:paraId="41B74392" w14:textId="77777777" w:rsidR="00ED6502" w:rsidRDefault="00ED6502" w:rsidP="00ED6502">
      <w:pPr>
        <w:pStyle w:val="ListParagraph"/>
        <w:numPr>
          <w:ilvl w:val="0"/>
          <w:numId w:val="2"/>
        </w:numPr>
        <w:ind w:left="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ED6502">
        <w:rPr>
          <w:rFonts w:ascii="Times New Roman" w:hAnsi="Times New Roman" w:cs="Times New Roman"/>
          <w:sz w:val="24"/>
          <w:szCs w:val="24"/>
        </w:rPr>
        <w:t>Integrimi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qeverisë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COVID-19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vajzat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adresimi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EDE94D" w14:textId="2C5487CC" w:rsidR="00ED6502" w:rsidRPr="00ED6502" w:rsidRDefault="00ED6502" w:rsidP="00ED6502">
      <w:pPr>
        <w:pStyle w:val="ListParagraph"/>
        <w:numPr>
          <w:ilvl w:val="0"/>
          <w:numId w:val="2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ED6502">
        <w:rPr>
          <w:rFonts w:ascii="Times New Roman" w:hAnsi="Times New Roman" w:cs="Times New Roman"/>
          <w:sz w:val="24"/>
          <w:szCs w:val="24"/>
        </w:rPr>
        <w:lastRenderedPageBreak/>
        <w:t>Masat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lehtësimit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adresojnë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barrën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rreziqet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rritura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D6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baz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>;</w:t>
      </w:r>
    </w:p>
    <w:p w14:paraId="2F831F2C" w14:textId="233ED80B" w:rsidR="00ED6502" w:rsidRPr="00ED6502" w:rsidRDefault="00ED6502" w:rsidP="00ED6502">
      <w:pPr>
        <w:rPr>
          <w:rFonts w:ascii="Times New Roman" w:hAnsi="Times New Roman" w:cs="Times New Roman"/>
          <w:sz w:val="24"/>
          <w:szCs w:val="24"/>
        </w:rPr>
      </w:pPr>
      <w:r w:rsidRPr="00ED650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drejtpërdrejtë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punëtorët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r w:rsidRPr="00ED6502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udhëhequra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veçanërisht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Ndihma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synojë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goditura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subvencionuara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mbështetur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shtyrje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pagesa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sigurimeve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përjashtime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>;</w:t>
      </w:r>
    </w:p>
    <w:p w14:paraId="117F8CD4" w14:textId="13E57B5F" w:rsidR="00ED6502" w:rsidRPr="00ED6502" w:rsidRDefault="00ED6502" w:rsidP="00ED6502">
      <w:pPr>
        <w:rPr>
          <w:rFonts w:ascii="Times New Roman" w:hAnsi="Times New Roman" w:cs="Times New Roman"/>
          <w:sz w:val="24"/>
          <w:szCs w:val="24"/>
        </w:rPr>
      </w:pPr>
      <w:r w:rsidRPr="00ED650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pjesëmarrjes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proceset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vendimmarrjes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mekanizmat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reagimit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merren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efektet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tilla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>;</w:t>
      </w:r>
    </w:p>
    <w:p w14:paraId="6E33C77B" w14:textId="77777777" w:rsidR="00ED6502" w:rsidRPr="00ED6502" w:rsidRDefault="00ED6502" w:rsidP="00ED6502">
      <w:pPr>
        <w:rPr>
          <w:rFonts w:ascii="Times New Roman" w:hAnsi="Times New Roman" w:cs="Times New Roman"/>
          <w:sz w:val="24"/>
          <w:szCs w:val="24"/>
        </w:rPr>
      </w:pPr>
      <w:r w:rsidRPr="00ED650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Qasja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përfitime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pushimi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paguar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pushimi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prindëror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pensionet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përfitimet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papunësisë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arrijnë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përtej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arritshme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sferat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>;</w:t>
      </w:r>
    </w:p>
    <w:p w14:paraId="558678FE" w14:textId="6B3A9166" w:rsidR="00ED6502" w:rsidRPr="00ED6502" w:rsidRDefault="00ED6502" w:rsidP="00ED6502">
      <w:pPr>
        <w:rPr>
          <w:rFonts w:ascii="Times New Roman" w:hAnsi="Times New Roman" w:cs="Times New Roman"/>
          <w:sz w:val="24"/>
          <w:szCs w:val="24"/>
        </w:rPr>
      </w:pPr>
      <w:r w:rsidRPr="00ED650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Krij</w:t>
      </w:r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rrjet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mbështe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6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posaçërisht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stimuluar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paketat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synojnë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prodhuese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tilla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sektorin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pronarët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bizneseve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>;</w:t>
      </w:r>
    </w:p>
    <w:p w14:paraId="019AB726" w14:textId="3AB80BD3" w:rsidR="00ED6502" w:rsidRPr="00ED6502" w:rsidRDefault="00ED6502" w:rsidP="00ED6502">
      <w:pPr>
        <w:rPr>
          <w:rFonts w:ascii="Times New Roman" w:hAnsi="Times New Roman" w:cs="Times New Roman"/>
          <w:sz w:val="24"/>
          <w:szCs w:val="24"/>
        </w:rPr>
      </w:pPr>
      <w:r w:rsidRPr="00ED650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Krij</w:t>
      </w:r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masa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sektorët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mbizotëruara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Pr="00ED650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shitja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pakicë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turizmi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>;</w:t>
      </w:r>
    </w:p>
    <w:p w14:paraId="312512A6" w14:textId="3FC9BE93" w:rsidR="00ED6502" w:rsidRPr="00ED6502" w:rsidRDefault="00ED6502" w:rsidP="00ED6502">
      <w:pPr>
        <w:rPr>
          <w:rFonts w:ascii="Times New Roman" w:hAnsi="Times New Roman" w:cs="Times New Roman"/>
          <w:sz w:val="24"/>
          <w:szCs w:val="24"/>
        </w:rPr>
      </w:pPr>
      <w:r w:rsidRPr="00ED650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pjesëmarrjes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mbështesin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përmirësojnë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qasjen</w:t>
      </w:r>
      <w:proofErr w:type="spellEnd"/>
      <w:r w:rsidR="00D61D89">
        <w:rPr>
          <w:rFonts w:ascii="Times New Roman" w:hAnsi="Times New Roman" w:cs="Times New Roman"/>
          <w:sz w:val="24"/>
          <w:szCs w:val="24"/>
        </w:rPr>
        <w:t xml:space="preserve"> e</w:t>
      </w:r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kategorive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ndjeshme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</w:t>
      </w:r>
      <w:r w:rsidR="00D61D89" w:rsidRPr="00ED6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r w:rsidR="00D61D89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papun</w:t>
      </w:r>
      <w:r w:rsidR="00D61D89" w:rsidRPr="00ED6502">
        <w:rPr>
          <w:rFonts w:ascii="Times New Roman" w:hAnsi="Times New Roman" w:cs="Times New Roman"/>
          <w:sz w:val="24"/>
          <w:szCs w:val="24"/>
        </w:rPr>
        <w:t>ë</w:t>
      </w:r>
      <w:r w:rsidR="00D61D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afatgjat</w:t>
      </w:r>
      <w:r w:rsidR="00D61D8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komuniteti</w:t>
      </w:r>
      <w:proofErr w:type="spellEnd"/>
      <w:r w:rsidR="00D61D89">
        <w:rPr>
          <w:rFonts w:ascii="Times New Roman" w:hAnsi="Times New Roman" w:cs="Times New Roman"/>
          <w:sz w:val="24"/>
          <w:szCs w:val="24"/>
        </w:rPr>
        <w:t xml:space="preserve"> Rom</w:t>
      </w:r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A</w:t>
      </w:r>
      <w:r w:rsidRPr="00ED6502">
        <w:rPr>
          <w:rFonts w:ascii="Times New Roman" w:hAnsi="Times New Roman" w:cs="Times New Roman"/>
          <w:sz w:val="24"/>
          <w:szCs w:val="24"/>
        </w:rPr>
        <w:t>shkali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E</w:t>
      </w:r>
      <w:r w:rsidRPr="00ED6502">
        <w:rPr>
          <w:rFonts w:ascii="Times New Roman" w:hAnsi="Times New Roman" w:cs="Times New Roman"/>
          <w:sz w:val="24"/>
          <w:szCs w:val="24"/>
        </w:rPr>
        <w:t>gjiptian</w:t>
      </w:r>
      <w:proofErr w:type="spellEnd"/>
      <w:r w:rsidR="00D61D89">
        <w:rPr>
          <w:rFonts w:ascii="Times New Roman" w:hAnsi="Times New Roman" w:cs="Times New Roman"/>
          <w:sz w:val="24"/>
          <w:szCs w:val="24"/>
        </w:rPr>
        <w:t>,</w:t>
      </w:r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komunitete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jo-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viktima</w:t>
      </w:r>
      <w:r w:rsidR="00D61D8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r w:rsidR="00D61D8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trafikimi</w:t>
      </w:r>
      <w:proofErr w:type="spellEnd"/>
      <w:r w:rsidR="00D61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viktimat</w:t>
      </w:r>
      <w:proofErr w:type="spellEnd"/>
      <w:r w:rsid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dhun</w:t>
      </w:r>
      <w:r w:rsidR="00D61D89" w:rsidRPr="00ED6502">
        <w:rPr>
          <w:rFonts w:ascii="Times New Roman" w:hAnsi="Times New Roman" w:cs="Times New Roman"/>
          <w:sz w:val="24"/>
          <w:szCs w:val="24"/>
        </w:rPr>
        <w:t>ë</w:t>
      </w:r>
      <w:r w:rsidR="00D61D8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D89">
        <w:rPr>
          <w:rFonts w:ascii="Times New Roman" w:hAnsi="Times New Roman" w:cs="Times New Roman"/>
          <w:sz w:val="24"/>
          <w:szCs w:val="24"/>
        </w:rPr>
        <w:t>n</w:t>
      </w:r>
      <w:r w:rsidR="00D61D89" w:rsidRPr="00ED650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viktimat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abuzimit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nënat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2">
        <w:rPr>
          <w:rFonts w:ascii="Times New Roman" w:hAnsi="Times New Roman" w:cs="Times New Roman"/>
          <w:sz w:val="24"/>
          <w:szCs w:val="24"/>
        </w:rPr>
        <w:t>beqare</w:t>
      </w:r>
      <w:proofErr w:type="spellEnd"/>
      <w:r w:rsidRPr="00ED6502">
        <w:rPr>
          <w:rFonts w:ascii="Times New Roman" w:hAnsi="Times New Roman" w:cs="Times New Roman"/>
          <w:sz w:val="24"/>
          <w:szCs w:val="24"/>
        </w:rPr>
        <w:t>;</w:t>
      </w:r>
    </w:p>
    <w:p w14:paraId="63627D86" w14:textId="7304651D" w:rsidR="00D61D89" w:rsidRPr="00D61D89" w:rsidRDefault="00D61D89" w:rsidP="00D61D89">
      <w:pPr>
        <w:rPr>
          <w:rFonts w:ascii="Times New Roman" w:hAnsi="Times New Roman" w:cs="Times New Roman"/>
          <w:sz w:val="24"/>
          <w:szCs w:val="24"/>
        </w:rPr>
      </w:pPr>
      <w:r w:rsidRPr="00D61D8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Implementimi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shërbime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kryesisht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gra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adresuar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nevojat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kujdestar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>;</w:t>
      </w:r>
    </w:p>
    <w:p w14:paraId="5F4CA9D8" w14:textId="1FE7C864" w:rsidR="00D61D89" w:rsidRPr="00D61D89" w:rsidRDefault="00D61D89" w:rsidP="00D61D89">
      <w:pPr>
        <w:rPr>
          <w:rFonts w:ascii="Times New Roman" w:hAnsi="Times New Roman" w:cs="Times New Roman"/>
          <w:sz w:val="24"/>
          <w:szCs w:val="24"/>
        </w:rPr>
      </w:pPr>
      <w:r w:rsidRPr="00D61D8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drejtpërdrejtë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punëtorët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joformal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udhëhequra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veçanërisht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rëndësishme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Ndihma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synojë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ndërmarrjet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goditura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vështirësi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61D8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huatë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subvencionuara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mbështetura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shtyrjet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përjashtimet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pagesave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sigurimeve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>;</w:t>
      </w:r>
    </w:p>
    <w:p w14:paraId="34C2E640" w14:textId="77777777" w:rsidR="00D61D89" w:rsidRPr="00D61D89" w:rsidRDefault="00D61D89" w:rsidP="00D61D89">
      <w:pPr>
        <w:rPr>
          <w:rFonts w:ascii="Times New Roman" w:hAnsi="Times New Roman" w:cs="Times New Roman"/>
          <w:sz w:val="24"/>
          <w:szCs w:val="24"/>
        </w:rPr>
      </w:pPr>
      <w:r w:rsidRPr="00D61D8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qasja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barabartë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burrat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Rekomandohet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pronarët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bizneseve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kredisë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0%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>;</w:t>
      </w:r>
    </w:p>
    <w:p w14:paraId="3061F795" w14:textId="61D9C6A0" w:rsidR="00D61D89" w:rsidRPr="00D61D89" w:rsidRDefault="00D61D89" w:rsidP="00D61D89">
      <w:pPr>
        <w:rPr>
          <w:rFonts w:ascii="Times New Roman" w:hAnsi="Times New Roman" w:cs="Times New Roman"/>
          <w:sz w:val="24"/>
          <w:szCs w:val="24"/>
        </w:rPr>
      </w:pPr>
      <w:r w:rsidRPr="00D61D8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ekonominë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r w:rsidRPr="00D61D89">
        <w:rPr>
          <w:rFonts w:ascii="Times New Roman" w:hAnsi="Times New Roman" w:cs="Times New Roman"/>
          <w:sz w:val="24"/>
          <w:szCs w:val="24"/>
        </w:rPr>
        <w:t>formale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mbështeten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transferimet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parave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kompensimin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papunësisë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veçanërisht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>;</w:t>
      </w:r>
    </w:p>
    <w:p w14:paraId="476C1518" w14:textId="767815EC" w:rsidR="00D61D89" w:rsidRPr="00D61D89" w:rsidRDefault="00D61D89" w:rsidP="00D61D89">
      <w:pPr>
        <w:rPr>
          <w:rFonts w:ascii="Times New Roman" w:hAnsi="Times New Roman" w:cs="Times New Roman"/>
          <w:sz w:val="24"/>
          <w:szCs w:val="24"/>
        </w:rPr>
      </w:pPr>
      <w:r w:rsidRPr="00D61D8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Mbësht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1D8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projekte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61D8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gjenerimit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grante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biznesin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e grave me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rurale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komunitete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jo-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>;</w:t>
      </w:r>
    </w:p>
    <w:p w14:paraId="2F41EED4" w14:textId="21184DBF" w:rsidR="00A6396F" w:rsidRPr="00A6396F" w:rsidRDefault="00D61D89">
      <w:pPr>
        <w:rPr>
          <w:rFonts w:ascii="Times New Roman" w:hAnsi="Times New Roman" w:cs="Times New Roman"/>
          <w:sz w:val="24"/>
          <w:szCs w:val="24"/>
        </w:rPr>
      </w:pPr>
      <w:r w:rsidRPr="00D61D8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3836EB">
        <w:rPr>
          <w:rFonts w:ascii="Times New Roman" w:hAnsi="Times New Roman" w:cs="Times New Roman"/>
          <w:sz w:val="24"/>
          <w:szCs w:val="24"/>
        </w:rPr>
        <w:t>Stimulime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751">
        <w:rPr>
          <w:rFonts w:ascii="Times New Roman" w:hAnsi="Times New Roman" w:cs="Times New Roman"/>
          <w:sz w:val="24"/>
          <w:szCs w:val="24"/>
        </w:rPr>
        <w:t>nga</w:t>
      </w:r>
      <w:bookmarkStart w:id="0" w:name="_GoBack"/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Oda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biznes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, p.sh. duke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formimit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 xml:space="preserve"> para-</w:t>
      </w:r>
      <w:proofErr w:type="spellStart"/>
      <w:r w:rsidRPr="00D61D89">
        <w:rPr>
          <w:rFonts w:ascii="Times New Roman" w:hAnsi="Times New Roman" w:cs="Times New Roman"/>
          <w:sz w:val="24"/>
          <w:szCs w:val="24"/>
        </w:rPr>
        <w:t>kualifikim</w:t>
      </w:r>
      <w:proofErr w:type="spellEnd"/>
      <w:r w:rsidRPr="00D61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396F" w:rsidRPr="00A6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CE79" w14:textId="77777777" w:rsidR="00C0526E" w:rsidRDefault="00C0526E" w:rsidP="00A6396F">
      <w:pPr>
        <w:spacing w:after="0" w:line="240" w:lineRule="auto"/>
      </w:pPr>
      <w:r>
        <w:separator/>
      </w:r>
    </w:p>
  </w:endnote>
  <w:endnote w:type="continuationSeparator" w:id="0">
    <w:p w14:paraId="0D1CF4AB" w14:textId="77777777" w:rsidR="00C0526E" w:rsidRDefault="00C0526E" w:rsidP="00A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374F" w14:textId="77777777" w:rsidR="00C0526E" w:rsidRDefault="00C0526E" w:rsidP="00A6396F">
      <w:pPr>
        <w:spacing w:after="0" w:line="240" w:lineRule="auto"/>
      </w:pPr>
      <w:r>
        <w:separator/>
      </w:r>
    </w:p>
  </w:footnote>
  <w:footnote w:type="continuationSeparator" w:id="0">
    <w:p w14:paraId="4EFF2A97" w14:textId="77777777" w:rsidR="00C0526E" w:rsidRDefault="00C0526E" w:rsidP="00A6396F">
      <w:pPr>
        <w:spacing w:after="0" w:line="240" w:lineRule="auto"/>
      </w:pPr>
      <w:r>
        <w:continuationSeparator/>
      </w:r>
    </w:p>
  </w:footnote>
  <w:footnote w:id="1">
    <w:p w14:paraId="6EAE756A" w14:textId="77777777" w:rsidR="00A6396F" w:rsidRPr="00A10D94" w:rsidRDefault="00A6396F" w:rsidP="00A6396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E4829">
        <w:rPr>
          <w:sz w:val="16"/>
          <w:szCs w:val="16"/>
          <w:lang w:val="en-GB"/>
        </w:rPr>
        <w:t xml:space="preserve">Kosovo’s Women Network. (2020). </w:t>
      </w:r>
      <w:r w:rsidRPr="007E4829">
        <w:rPr>
          <w:i/>
          <w:iCs/>
          <w:sz w:val="16"/>
          <w:szCs w:val="16"/>
          <w:lang w:val="en-US"/>
        </w:rPr>
        <w:t>Addressing COVID-19 from a Gender Perspective: Recommendations to the Government of Kosovo</w:t>
      </w:r>
      <w:r w:rsidRPr="007E4829">
        <w:rPr>
          <w:sz w:val="16"/>
          <w:szCs w:val="16"/>
          <w:lang w:val="en-US"/>
        </w:rPr>
        <w:t xml:space="preserve">. </w:t>
      </w:r>
      <w:r w:rsidRPr="007E4829">
        <w:rPr>
          <w:color w:val="000000" w:themeColor="text1"/>
          <w:sz w:val="16"/>
          <w:szCs w:val="16"/>
          <w:shd w:val="clear" w:color="auto" w:fill="FFFFFF"/>
          <w:lang w:val="en-US"/>
        </w:rPr>
        <w:t xml:space="preserve">Retrieved April 9, 2020, </w:t>
      </w:r>
      <w:hyperlink r:id="rId1" w:history="1">
        <w:r w:rsidRPr="00181C86">
          <w:rPr>
            <w:rStyle w:val="Hyperlink"/>
            <w:sz w:val="16"/>
            <w:szCs w:val="16"/>
            <w:shd w:val="clear" w:color="auto" w:fill="FFFFFF"/>
            <w:lang w:val="en-US"/>
          </w:rPr>
          <w:t>https://womensnetwork.org/wp-content/uploads/2020/04/Addressing-COVID-19-from-a-Gender-Perspective_04_04_2020.pdf</w:t>
        </w:r>
      </w:hyperlink>
    </w:p>
  </w:footnote>
  <w:footnote w:id="2">
    <w:p w14:paraId="419D0F5F" w14:textId="77777777" w:rsidR="00A6396F" w:rsidRDefault="00A6396F" w:rsidP="00A6396F">
      <w:pPr>
        <w:ind w:left="708" w:hanging="708"/>
        <w:rPr>
          <w:sz w:val="16"/>
          <w:szCs w:val="16"/>
        </w:rPr>
      </w:pPr>
      <w:r w:rsidRPr="007E4829"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en-GB"/>
        </w:rPr>
        <w:t xml:space="preserve"> Ibid.</w:t>
      </w:r>
    </w:p>
  </w:footnote>
  <w:footnote w:id="3">
    <w:p w14:paraId="23E97038" w14:textId="77777777" w:rsidR="00A6396F" w:rsidRPr="00010086" w:rsidRDefault="00A6396F" w:rsidP="00A6396F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 w:rsidRPr="007E4829">
        <w:rPr>
          <w:rStyle w:val="FootnoteReference"/>
          <w:sz w:val="16"/>
          <w:szCs w:val="16"/>
        </w:rPr>
        <w:footnoteRef/>
      </w:r>
      <w:r w:rsidRPr="007E4829">
        <w:rPr>
          <w:sz w:val="16"/>
          <w:szCs w:val="16"/>
          <w:lang w:val="en-US"/>
        </w:rPr>
        <w:t xml:space="preserve"> Harman, Sophie (2015). </w:t>
      </w:r>
      <w:r w:rsidRPr="007E4829">
        <w:rPr>
          <w:i/>
          <w:iCs/>
          <w:sz w:val="16"/>
          <w:szCs w:val="16"/>
          <w:lang w:val="en-US"/>
        </w:rPr>
        <w:t>Ebola, gender and conspicuously invisible women in global health governance</w:t>
      </w:r>
      <w:r w:rsidRPr="007E4829">
        <w:rPr>
          <w:sz w:val="16"/>
          <w:szCs w:val="16"/>
          <w:lang w:val="en-US"/>
        </w:rPr>
        <w:t>. Third World Quarterly 37(3).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1B4C"/>
    <w:multiLevelType w:val="hybridMultilevel"/>
    <w:tmpl w:val="D44278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59A54D9"/>
    <w:multiLevelType w:val="hybridMultilevel"/>
    <w:tmpl w:val="A79A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6F"/>
    <w:rsid w:val="00030751"/>
    <w:rsid w:val="000D4A1D"/>
    <w:rsid w:val="0026241B"/>
    <w:rsid w:val="002F438B"/>
    <w:rsid w:val="003836EB"/>
    <w:rsid w:val="00780269"/>
    <w:rsid w:val="00A6396F"/>
    <w:rsid w:val="00C0526E"/>
    <w:rsid w:val="00C43969"/>
    <w:rsid w:val="00D61D89"/>
    <w:rsid w:val="00DC394C"/>
    <w:rsid w:val="00E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BE08"/>
  <w15:chartTrackingRefBased/>
  <w15:docId w15:val="{5E049D8E-6852-40E0-A5C9-F6F566F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96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6396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A639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65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9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omensnetwork.org/wp-content/uploads/2020/04/Addressing-COVID-19-from-a-Gender-Perspective_04_04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 Bina</dc:creator>
  <cp:keywords/>
  <dc:description/>
  <cp:lastModifiedBy>Anisa  Bina</cp:lastModifiedBy>
  <cp:revision>2</cp:revision>
  <dcterms:created xsi:type="dcterms:W3CDTF">2020-04-17T10:08:00Z</dcterms:created>
  <dcterms:modified xsi:type="dcterms:W3CDTF">2020-04-17T10:08:00Z</dcterms:modified>
</cp:coreProperties>
</file>